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30" w:rsidRDefault="00E41130" w:rsidP="00E41130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BD63EC">
        <w:rPr>
          <w:rFonts w:ascii="Arial" w:hAnsi="Arial" w:cs="Arial"/>
          <w:noProof/>
          <w:color w:val="FFFFFF"/>
          <w:sz w:val="22"/>
          <w:szCs w:val="22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7F324916" wp14:editId="472ADA69">
            <wp:simplePos x="0" y="0"/>
            <wp:positionH relativeFrom="margin">
              <wp:posOffset>2938780</wp:posOffset>
            </wp:positionH>
            <wp:positionV relativeFrom="margin">
              <wp:posOffset>-344805</wp:posOffset>
            </wp:positionV>
            <wp:extent cx="904875" cy="730250"/>
            <wp:effectExtent l="0" t="0" r="9525" b="0"/>
            <wp:wrapSquare wrapText="bothSides"/>
            <wp:docPr id="2" name="0 Imagen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130" w:rsidRDefault="00E41130" w:rsidP="00E41130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E41130" w:rsidRPr="00231D10" w:rsidRDefault="00E41130" w:rsidP="00E41130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231D10">
        <w:rPr>
          <w:rFonts w:ascii="Arial" w:hAnsi="Arial" w:cs="Arial"/>
          <w:b/>
          <w:sz w:val="18"/>
          <w:szCs w:val="18"/>
          <w:lang w:val="es-MX"/>
        </w:rPr>
        <w:t>ESCUELA SUPERIOR DE BELLAS ARTES MANUEL BELGRANO</w:t>
      </w:r>
    </w:p>
    <w:p w:rsidR="00E41130" w:rsidRDefault="00E41130" w:rsidP="00E41130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231D10">
        <w:rPr>
          <w:rFonts w:ascii="Arial" w:hAnsi="Arial" w:cs="Arial"/>
          <w:b/>
          <w:sz w:val="18"/>
          <w:szCs w:val="18"/>
          <w:lang w:val="es-MX"/>
        </w:rPr>
        <w:t>DEPARTAMENTO DE TEATRO</w:t>
      </w:r>
    </w:p>
    <w:p w:rsidR="00E41130" w:rsidRPr="00231D10" w:rsidRDefault="00E41130" w:rsidP="00E41130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E41130" w:rsidRPr="00E41130" w:rsidRDefault="00E41130" w:rsidP="00E41130">
      <w:pPr>
        <w:spacing w:line="360" w:lineRule="auto"/>
        <w:jc w:val="center"/>
        <w:rPr>
          <w:rFonts w:ascii="Arial" w:hAnsi="Arial" w:cs="Arial"/>
          <w:lang w:val="es-MX"/>
        </w:rPr>
      </w:pPr>
      <w:r w:rsidRPr="00E41130">
        <w:rPr>
          <w:rFonts w:ascii="Arial" w:hAnsi="Arial" w:cs="Arial"/>
          <w:lang w:val="es-MX"/>
        </w:rPr>
        <w:t xml:space="preserve">ASIGNATURA: </w:t>
      </w:r>
      <w:r w:rsidRPr="00E41130">
        <w:rPr>
          <w:rFonts w:ascii="Arial" w:hAnsi="Arial" w:cs="Arial"/>
          <w:b/>
          <w:lang w:val="es-MX"/>
        </w:rPr>
        <w:t>DRAMATURGIA</w:t>
      </w:r>
    </w:p>
    <w:p w:rsidR="00E41130" w:rsidRPr="00E41130" w:rsidRDefault="00E41130" w:rsidP="00E41130">
      <w:pPr>
        <w:spacing w:line="360" w:lineRule="auto"/>
        <w:jc w:val="center"/>
        <w:rPr>
          <w:rFonts w:ascii="Arial" w:hAnsi="Arial" w:cs="Arial"/>
          <w:lang w:val="es-MX"/>
        </w:rPr>
      </w:pPr>
      <w:r w:rsidRPr="00E41130">
        <w:rPr>
          <w:rFonts w:ascii="Arial" w:hAnsi="Arial" w:cs="Arial"/>
          <w:lang w:val="es-MX"/>
        </w:rPr>
        <w:t>PLAN de ESTUDIOS:</w:t>
      </w:r>
      <w:r w:rsidRPr="00E41130">
        <w:rPr>
          <w:rFonts w:ascii="Arial" w:hAnsi="Arial" w:cs="Arial"/>
          <w:b/>
          <w:lang w:val="es-MX"/>
        </w:rPr>
        <w:t xml:space="preserve"> </w:t>
      </w:r>
      <w:r w:rsidRPr="00E41130">
        <w:rPr>
          <w:rFonts w:ascii="Arial" w:hAnsi="Arial" w:cs="Arial"/>
          <w:lang w:val="es-MX"/>
        </w:rPr>
        <w:t>N°</w:t>
      </w:r>
      <w:r w:rsidRPr="00E41130">
        <w:rPr>
          <w:rFonts w:ascii="Arial" w:hAnsi="Arial" w:cs="Arial"/>
          <w:b/>
          <w:lang w:val="es-MX"/>
        </w:rPr>
        <w:t xml:space="preserve"> </w:t>
      </w:r>
      <w:r w:rsidRPr="00E41130">
        <w:rPr>
          <w:rFonts w:ascii="Arial" w:hAnsi="Arial" w:cs="Arial"/>
          <w:lang w:val="es-MX"/>
        </w:rPr>
        <w:t>712, 683.</w:t>
      </w:r>
    </w:p>
    <w:p w:rsidR="00E41130" w:rsidRPr="00E41130" w:rsidRDefault="00E41130" w:rsidP="00E41130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E41130">
        <w:rPr>
          <w:rFonts w:ascii="Arial" w:hAnsi="Arial" w:cs="Arial"/>
          <w:lang w:val="es-MX"/>
        </w:rPr>
        <w:t>AÑO DE CURSADO: Cuarto (712) y quinto (683).</w:t>
      </w:r>
    </w:p>
    <w:p w:rsidR="00E41130" w:rsidRPr="00E41130" w:rsidRDefault="00E41130" w:rsidP="00E41130">
      <w:pPr>
        <w:spacing w:line="360" w:lineRule="auto"/>
        <w:jc w:val="center"/>
        <w:rPr>
          <w:rFonts w:ascii="Arial" w:hAnsi="Arial" w:cs="Arial"/>
          <w:lang w:val="es-MX"/>
        </w:rPr>
      </w:pPr>
      <w:r w:rsidRPr="00E41130">
        <w:rPr>
          <w:rFonts w:ascii="Arial" w:hAnsi="Arial" w:cs="Arial"/>
          <w:lang w:val="es-MX"/>
        </w:rPr>
        <w:t>PROFESORA A CARGO:</w:t>
      </w:r>
      <w:r w:rsidRPr="00E41130">
        <w:rPr>
          <w:rFonts w:ascii="Arial" w:hAnsi="Arial" w:cs="Arial"/>
          <w:b/>
          <w:lang w:val="es-MX"/>
        </w:rPr>
        <w:t xml:space="preserve"> </w:t>
      </w:r>
      <w:r w:rsidRPr="00E41130">
        <w:rPr>
          <w:rFonts w:ascii="Arial" w:hAnsi="Arial" w:cs="Arial"/>
          <w:lang w:val="es-MX"/>
        </w:rPr>
        <w:t>María Lara Acosta.</w:t>
      </w:r>
    </w:p>
    <w:p w:rsidR="00E41130" w:rsidRPr="00E41130" w:rsidRDefault="00E41130" w:rsidP="00E41130">
      <w:pPr>
        <w:spacing w:line="360" w:lineRule="auto"/>
        <w:jc w:val="center"/>
        <w:rPr>
          <w:rFonts w:ascii="Arial" w:hAnsi="Arial" w:cs="Arial"/>
          <w:lang w:val="es-MX"/>
        </w:rPr>
      </w:pPr>
      <w:r w:rsidRPr="00E41130">
        <w:rPr>
          <w:rFonts w:ascii="Arial" w:hAnsi="Arial" w:cs="Arial"/>
          <w:lang w:val="es-MX"/>
        </w:rPr>
        <w:t>RÉGIMEN DE CURSADO:</w:t>
      </w:r>
      <w:r w:rsidRPr="00E41130">
        <w:rPr>
          <w:rFonts w:ascii="Arial" w:hAnsi="Arial" w:cs="Arial"/>
          <w:b/>
          <w:lang w:val="es-MX"/>
        </w:rPr>
        <w:t xml:space="preserve"> </w:t>
      </w:r>
      <w:r w:rsidRPr="00E41130">
        <w:rPr>
          <w:rFonts w:ascii="Arial" w:hAnsi="Arial" w:cs="Arial"/>
          <w:lang w:val="es-MX"/>
        </w:rPr>
        <w:t>Anual.</w:t>
      </w:r>
    </w:p>
    <w:p w:rsidR="00E41130" w:rsidRDefault="00E41130" w:rsidP="00E41130">
      <w:pPr>
        <w:spacing w:line="360" w:lineRule="auto"/>
        <w:jc w:val="center"/>
        <w:rPr>
          <w:rStyle w:val="Hipervnculo"/>
          <w:rFonts w:ascii="Arial" w:hAnsi="Arial" w:cs="Arial"/>
          <w:lang w:val="es-MX"/>
        </w:rPr>
      </w:pPr>
      <w:r w:rsidRPr="00E41130">
        <w:rPr>
          <w:rFonts w:ascii="Arial" w:hAnsi="Arial" w:cs="Arial"/>
          <w:lang w:val="es-MX"/>
        </w:rPr>
        <w:t xml:space="preserve">EMAIL de CONTACTO: </w:t>
      </w:r>
      <w:hyperlink r:id="rId7" w:history="1">
        <w:r w:rsidRPr="00E41130">
          <w:rPr>
            <w:rStyle w:val="Hipervnculo"/>
            <w:rFonts w:ascii="Arial" w:hAnsi="Arial" w:cs="Arial"/>
            <w:lang w:val="es-MX"/>
          </w:rPr>
          <w:t>marialaraacosta21@gmail.com</w:t>
        </w:r>
      </w:hyperlink>
    </w:p>
    <w:p w:rsidR="00B96A9C" w:rsidRDefault="00B96A9C" w:rsidP="00E41130">
      <w:pPr>
        <w:spacing w:line="360" w:lineRule="auto"/>
        <w:jc w:val="center"/>
        <w:rPr>
          <w:rStyle w:val="Hipervnculo"/>
          <w:rFonts w:ascii="Arial" w:hAnsi="Arial" w:cs="Arial"/>
          <w:lang w:val="es-MX"/>
        </w:rPr>
      </w:pPr>
    </w:p>
    <w:p w:rsidR="006B7D14" w:rsidRPr="006B7D14" w:rsidRDefault="00BD321D" w:rsidP="00B96A9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u w:val="single"/>
        </w:rPr>
      </w:pPr>
      <w:r w:rsidRPr="006B7D14">
        <w:rPr>
          <w:rFonts w:ascii="Arial" w:hAnsi="Arial" w:cs="Arial"/>
          <w:u w:val="single"/>
        </w:rPr>
        <w:t xml:space="preserve">Extracto de </w:t>
      </w:r>
      <w:r w:rsidRPr="006B7D14">
        <w:rPr>
          <w:rFonts w:ascii="Arial" w:hAnsi="Arial" w:cs="Arial"/>
          <w:b/>
          <w:i/>
          <w:u w:val="single"/>
        </w:rPr>
        <w:t>¿Qué es lo contemporáneo?</w:t>
      </w:r>
      <w:r w:rsidRPr="006B7D14">
        <w:rPr>
          <w:rFonts w:ascii="Arial" w:hAnsi="Arial" w:cs="Arial"/>
          <w:u w:val="single"/>
        </w:rPr>
        <w:t xml:space="preserve"> de Giorgio </w:t>
      </w:r>
      <w:proofErr w:type="spellStart"/>
      <w:r w:rsidRPr="006B7D14">
        <w:rPr>
          <w:rFonts w:ascii="Arial" w:hAnsi="Arial" w:cs="Arial"/>
          <w:u w:val="single"/>
        </w:rPr>
        <w:t>Agamben</w:t>
      </w:r>
      <w:proofErr w:type="spellEnd"/>
      <w:r w:rsidRPr="006B7D14">
        <w:rPr>
          <w:rFonts w:ascii="Arial" w:hAnsi="Arial" w:cs="Arial"/>
          <w:u w:val="single"/>
        </w:rPr>
        <w:t>; 2008</w:t>
      </w:r>
    </w:p>
    <w:p w:rsidR="00BD321D" w:rsidRPr="0024092F" w:rsidRDefault="00BD321D" w:rsidP="00B96A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24092F">
        <w:rPr>
          <w:rFonts w:ascii="Arial" w:hAnsi="Arial" w:cs="Arial"/>
        </w:rPr>
        <w:t>El poeta —el contemporáneo— debe tener fija la mirada en su tiempo.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¿Pero qué cosa ve quien ve su tiempo, la sonrisa demente de su siglo?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Quisiera a este punto proponerles una segunda definición de la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contemporaneidad: contemporáneo es aquel que tiene fija la mirada en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su tiempo, para percibir no las luces, sino la oscuridad. Todos los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tiempos son, para quien lleva a cabo la contemporaneidad, oscuros.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Contemporáneo es, precisamente, aquel que sabe ver esta oscuridad,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 xml:space="preserve">que está en grado de escribir entintando la lapicera en </w:t>
      </w:r>
      <w:proofErr w:type="gramStart"/>
      <w:r w:rsidRPr="0024092F">
        <w:rPr>
          <w:rFonts w:ascii="Arial" w:hAnsi="Arial" w:cs="Arial"/>
        </w:rPr>
        <w:t>la</w:t>
      </w:r>
      <w:proofErr w:type="gramEnd"/>
      <w:r w:rsidRPr="0024092F">
        <w:rPr>
          <w:rFonts w:ascii="Arial" w:hAnsi="Arial" w:cs="Arial"/>
        </w:rPr>
        <w:t xml:space="preserve"> tiniebla del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presente. ¿Pero qué significa “ver una tiniebla”, “percibir la oscuridad”?</w:t>
      </w:r>
    </w:p>
    <w:p w:rsidR="00BD321D" w:rsidRPr="0024092F" w:rsidRDefault="00BD321D" w:rsidP="00B96A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4092F">
        <w:rPr>
          <w:rFonts w:ascii="Arial" w:hAnsi="Arial" w:cs="Arial"/>
        </w:rPr>
        <w:t>Una primera respuesta nos es sugerida por la neurofisiología de la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visión. ¿Qué cosa adviene cuando nos encontramos en un ambiente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privado de luz, o cuando cerramos los ojos? ¿Qué es la oscuridad que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 xml:space="preserve">entonces vemos? Los </w:t>
      </w:r>
      <w:proofErr w:type="spellStart"/>
      <w:r w:rsidRPr="0024092F">
        <w:rPr>
          <w:rFonts w:ascii="Arial" w:hAnsi="Arial" w:cs="Arial"/>
        </w:rPr>
        <w:t>neurofisiólogos</w:t>
      </w:r>
      <w:proofErr w:type="spellEnd"/>
      <w:r w:rsidRPr="0024092F">
        <w:rPr>
          <w:rFonts w:ascii="Arial" w:hAnsi="Arial" w:cs="Arial"/>
        </w:rPr>
        <w:t xml:space="preserve"> nos dicen que la ausencia de luz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desinhibe una serie de células periféricas de la retina, llamadas off-</w:t>
      </w:r>
      <w:proofErr w:type="spellStart"/>
      <w:r w:rsidRPr="0024092F">
        <w:rPr>
          <w:rFonts w:ascii="Arial" w:hAnsi="Arial" w:cs="Arial"/>
        </w:rPr>
        <w:t>cells</w:t>
      </w:r>
      <w:proofErr w:type="spellEnd"/>
      <w:r w:rsidRPr="0024092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que entran en actividad y producen esa especie particular de visión que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llamamos oscuridad. La oscuridad no es, por lo tanto, un concepto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privativo, la simple ausencia de la luz, algo así como una no-visión, sino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el resultado de la actividad de las off-</w:t>
      </w:r>
      <w:proofErr w:type="spellStart"/>
      <w:r w:rsidRPr="0024092F">
        <w:rPr>
          <w:rFonts w:ascii="Arial" w:hAnsi="Arial" w:cs="Arial"/>
        </w:rPr>
        <w:t>cells</w:t>
      </w:r>
      <w:proofErr w:type="spellEnd"/>
      <w:r w:rsidRPr="0024092F">
        <w:rPr>
          <w:rFonts w:ascii="Arial" w:hAnsi="Arial" w:cs="Arial"/>
        </w:rPr>
        <w:t>, un producto de nuestra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retina. Ello significa, si volvemos ahora a nuestra tesis sobre la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oscuridad de la contemporaneidad, que percibir esta oscuridad no es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una forma de inercia o de pasividad, sino que implica una actividad y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una habilidad particular, que, en nuestro caso, equivalen a neutralizar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las luces que vienen de la época para descubrir su tiniebla, su oscuridad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especial, que no es, de todos modos, separable de aquellas luces.</w:t>
      </w:r>
    </w:p>
    <w:p w:rsidR="00BD321D" w:rsidRPr="0024092F" w:rsidRDefault="00BD321D" w:rsidP="00B96A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4092F">
        <w:rPr>
          <w:rFonts w:ascii="Arial" w:hAnsi="Arial" w:cs="Arial"/>
        </w:rPr>
        <w:t>Puede decirse contemporáneo solamente quien no se deja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enceguecer por las luces del siglo y alcanza a vislumbrar en ellas la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parte de la sombra, su íntima oscuridad. Con esto, sin embargo, no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tenemos aún la respuesta a nuestra pregunta. ¿Por qué alcanzar a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percibir las tinieblas que provienen de la época debería interesarnos?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¿No es quizás la oscuridad una experiencia anónima y por definición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impenetrable, algo que no está dirigido a nosotros y no puede, por ello,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 xml:space="preserve">concernirnos? </w:t>
      </w:r>
      <w:r w:rsidRPr="0024092F">
        <w:rPr>
          <w:rFonts w:ascii="Arial" w:hAnsi="Arial" w:cs="Arial"/>
        </w:rPr>
        <w:lastRenderedPageBreak/>
        <w:t>Al contrario, el contemporáneo es aquel que percibe la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oscuridad de su tiempo como algo que le concierne y no deja de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interpelarlo, algo que, más que toda luz, se dirige directamente a él.</w:t>
      </w:r>
    </w:p>
    <w:p w:rsidR="00BD321D" w:rsidRDefault="00BD321D" w:rsidP="00B96A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4092F">
        <w:rPr>
          <w:rFonts w:ascii="Arial" w:hAnsi="Arial" w:cs="Arial"/>
        </w:rPr>
        <w:t>Contemporáneo es aquel que recibe en pleno rostro el haz de tiniebla</w:t>
      </w:r>
      <w:r>
        <w:rPr>
          <w:rFonts w:ascii="Arial" w:hAnsi="Arial" w:cs="Arial"/>
        </w:rPr>
        <w:t xml:space="preserve"> </w:t>
      </w:r>
      <w:r w:rsidRPr="0024092F">
        <w:rPr>
          <w:rFonts w:ascii="Arial" w:hAnsi="Arial" w:cs="Arial"/>
        </w:rPr>
        <w:t>que proviene de su tiempo</w:t>
      </w:r>
      <w:r>
        <w:rPr>
          <w:rFonts w:ascii="Arial" w:hAnsi="Arial" w:cs="Arial"/>
        </w:rPr>
        <w:t>”</w:t>
      </w:r>
      <w:r w:rsidRPr="0024092F">
        <w:rPr>
          <w:rFonts w:ascii="Arial" w:hAnsi="Arial" w:cs="Arial"/>
        </w:rPr>
        <w:t>.</w:t>
      </w:r>
    </w:p>
    <w:p w:rsidR="00BD321D" w:rsidRDefault="00BD321D" w:rsidP="00BD321D">
      <w:pPr>
        <w:spacing w:line="360" w:lineRule="auto"/>
        <w:jc w:val="both"/>
        <w:rPr>
          <w:rFonts w:ascii="Arial" w:hAnsi="Arial" w:cs="Arial"/>
          <w:lang w:val="es-MX"/>
        </w:rPr>
      </w:pPr>
    </w:p>
    <w:p w:rsidR="00B96A9C" w:rsidRDefault="00B96A9C" w:rsidP="00B96A9C">
      <w:pPr>
        <w:spacing w:line="360" w:lineRule="auto"/>
        <w:jc w:val="center"/>
        <w:rPr>
          <w:rFonts w:ascii="Arial" w:hAnsi="Arial" w:cs="Arial"/>
          <w:u w:val="single"/>
          <w:lang w:val="es-MX"/>
        </w:rPr>
      </w:pPr>
      <w:r w:rsidRPr="00BD321D">
        <w:rPr>
          <w:rFonts w:ascii="Arial" w:hAnsi="Arial" w:cs="Arial"/>
          <w:u w:val="single"/>
          <w:lang w:val="es-MX"/>
        </w:rPr>
        <w:t>Trabajo práctico</w:t>
      </w:r>
      <w:r w:rsidR="003E0ED1">
        <w:rPr>
          <w:rFonts w:ascii="Arial" w:hAnsi="Arial" w:cs="Arial"/>
          <w:u w:val="single"/>
          <w:lang w:val="es-MX"/>
        </w:rPr>
        <w:t xml:space="preserve"> – Fecha de entrega</w:t>
      </w:r>
      <w:r w:rsidR="00162DA7">
        <w:rPr>
          <w:rFonts w:ascii="Arial" w:hAnsi="Arial" w:cs="Arial"/>
          <w:u w:val="single"/>
          <w:lang w:val="es-MX"/>
        </w:rPr>
        <w:t xml:space="preserve"> (vía mail)</w:t>
      </w:r>
      <w:r w:rsidR="003E0ED1">
        <w:rPr>
          <w:rFonts w:ascii="Arial" w:hAnsi="Arial" w:cs="Arial"/>
          <w:u w:val="single"/>
          <w:lang w:val="es-MX"/>
        </w:rPr>
        <w:t>: 27/3/2020</w:t>
      </w:r>
    </w:p>
    <w:p w:rsidR="00B96A9C" w:rsidRDefault="00B96A9C" w:rsidP="00B96A9C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Giorgio </w:t>
      </w:r>
      <w:proofErr w:type="spellStart"/>
      <w:r>
        <w:rPr>
          <w:rFonts w:ascii="Arial" w:hAnsi="Arial" w:cs="Arial"/>
          <w:lang w:val="es-MX"/>
        </w:rPr>
        <w:t>Agamben</w:t>
      </w:r>
      <w:proofErr w:type="spellEnd"/>
      <w:r>
        <w:rPr>
          <w:rFonts w:ascii="Arial" w:hAnsi="Arial" w:cs="Arial"/>
          <w:lang w:val="es-MX"/>
        </w:rPr>
        <w:t xml:space="preserve"> presenta en el texto una concepción de lo que considera es “ser/estar siendo </w:t>
      </w:r>
      <w:proofErr w:type="spellStart"/>
      <w:r>
        <w:rPr>
          <w:rFonts w:ascii="Arial" w:hAnsi="Arial" w:cs="Arial"/>
          <w:lang w:val="es-MX"/>
        </w:rPr>
        <w:t>contemporánexs</w:t>
      </w:r>
      <w:proofErr w:type="spellEnd"/>
      <w:r>
        <w:rPr>
          <w:rFonts w:ascii="Arial" w:hAnsi="Arial" w:cs="Arial"/>
          <w:lang w:val="es-MX"/>
        </w:rPr>
        <w:t xml:space="preserve">” que podríamos recuperar como </w:t>
      </w:r>
      <w:r w:rsidR="008B22E9" w:rsidRPr="00BA3940">
        <w:rPr>
          <w:rFonts w:ascii="Arial" w:hAnsi="Arial" w:cs="Arial"/>
          <w:i/>
          <w:lang w:val="es-MX"/>
        </w:rPr>
        <w:t>obertura</w:t>
      </w:r>
      <w:r w:rsidR="008B22E9">
        <w:rPr>
          <w:rFonts w:ascii="Arial" w:hAnsi="Arial" w:cs="Arial"/>
          <w:lang w:val="es-MX"/>
        </w:rPr>
        <w:t xml:space="preserve">, como </w:t>
      </w:r>
      <w:r w:rsidRPr="00BA3940">
        <w:rPr>
          <w:rFonts w:ascii="Arial" w:hAnsi="Arial" w:cs="Arial"/>
          <w:i/>
          <w:lang w:val="es-MX"/>
        </w:rPr>
        <w:t xml:space="preserve">puerta de </w:t>
      </w:r>
      <w:r w:rsidR="008B22E9" w:rsidRPr="00BA3940">
        <w:rPr>
          <w:rFonts w:ascii="Arial" w:hAnsi="Arial" w:cs="Arial"/>
          <w:i/>
          <w:lang w:val="es-MX"/>
        </w:rPr>
        <w:t>acceso</w:t>
      </w:r>
      <w:r>
        <w:rPr>
          <w:rFonts w:ascii="Arial" w:hAnsi="Arial" w:cs="Arial"/>
          <w:lang w:val="es-MX"/>
        </w:rPr>
        <w:t xml:space="preserve"> a la </w:t>
      </w:r>
      <w:r w:rsidR="00BA3940">
        <w:rPr>
          <w:rFonts w:ascii="Arial" w:hAnsi="Arial" w:cs="Arial"/>
          <w:lang w:val="es-MX"/>
        </w:rPr>
        <w:t>asignatura</w:t>
      </w:r>
      <w:r>
        <w:rPr>
          <w:rFonts w:ascii="Arial" w:hAnsi="Arial" w:cs="Arial"/>
          <w:lang w:val="es-MX"/>
        </w:rPr>
        <w:t xml:space="preserve"> de Dramaturgia. </w:t>
      </w:r>
      <w:r w:rsidR="008B22E9">
        <w:rPr>
          <w:rFonts w:ascii="Arial" w:hAnsi="Arial" w:cs="Arial"/>
          <w:lang w:val="es-MX"/>
        </w:rPr>
        <w:t>La propuesta de trabajo consiste en:</w:t>
      </w:r>
    </w:p>
    <w:p w:rsidR="008B22E9" w:rsidRDefault="008B22E9" w:rsidP="008B22E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Recuperar una o más citas del texto que permitan comprender lo que </w:t>
      </w:r>
      <w:proofErr w:type="spellStart"/>
      <w:r>
        <w:rPr>
          <w:rFonts w:ascii="Arial" w:hAnsi="Arial" w:cs="Arial"/>
          <w:lang w:val="es-MX"/>
        </w:rPr>
        <w:t>Agamben</w:t>
      </w:r>
      <w:proofErr w:type="spellEnd"/>
      <w:r>
        <w:rPr>
          <w:rFonts w:ascii="Arial" w:hAnsi="Arial" w:cs="Arial"/>
          <w:lang w:val="es-MX"/>
        </w:rPr>
        <w:t xml:space="preserve"> entiende/propone acerca de “</w:t>
      </w:r>
      <w:r>
        <w:rPr>
          <w:rFonts w:ascii="Arial" w:hAnsi="Arial" w:cs="Arial"/>
          <w:lang w:val="es-MX"/>
        </w:rPr>
        <w:t xml:space="preserve">ser/estar siendo </w:t>
      </w:r>
      <w:proofErr w:type="spellStart"/>
      <w:r>
        <w:rPr>
          <w:rFonts w:ascii="Arial" w:hAnsi="Arial" w:cs="Arial"/>
          <w:lang w:val="es-MX"/>
        </w:rPr>
        <w:t>contemporánexs</w:t>
      </w:r>
      <w:proofErr w:type="spellEnd"/>
      <w:r>
        <w:rPr>
          <w:rFonts w:ascii="Arial" w:hAnsi="Arial" w:cs="Arial"/>
          <w:lang w:val="es-MX"/>
        </w:rPr>
        <w:t>”</w:t>
      </w:r>
      <w:r w:rsidR="003E0ED1">
        <w:rPr>
          <w:rFonts w:ascii="Arial" w:hAnsi="Arial" w:cs="Arial"/>
          <w:lang w:val="es-MX"/>
        </w:rPr>
        <w:t xml:space="preserve"> y</w:t>
      </w:r>
      <w:r>
        <w:rPr>
          <w:rFonts w:ascii="Arial" w:hAnsi="Arial" w:cs="Arial"/>
          <w:lang w:val="es-MX"/>
        </w:rPr>
        <w:t xml:space="preserve"> </w:t>
      </w:r>
      <w:r w:rsidR="003E0ED1">
        <w:rPr>
          <w:rFonts w:ascii="Arial" w:hAnsi="Arial" w:cs="Arial"/>
          <w:lang w:val="es-MX"/>
        </w:rPr>
        <w:t>transcribirlas a modo de síntesis de la definición que propone el autor.</w:t>
      </w:r>
    </w:p>
    <w:p w:rsidR="00BA3940" w:rsidRDefault="003E0ED1" w:rsidP="008B22E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Seleccion</w:t>
      </w:r>
      <w:r w:rsidR="005973DE">
        <w:rPr>
          <w:rFonts w:ascii="Arial" w:hAnsi="Arial" w:cs="Arial"/>
          <w:lang w:val="es-MX"/>
        </w:rPr>
        <w:t>ar</w:t>
      </w:r>
      <w:bookmarkStart w:id="0" w:name="_GoBack"/>
      <w:bookmarkEnd w:id="0"/>
      <w:r w:rsidR="00BA3940">
        <w:rPr>
          <w:rFonts w:ascii="Arial" w:hAnsi="Arial" w:cs="Arial"/>
          <w:lang w:val="es-MX"/>
        </w:rPr>
        <w:t xml:space="preserve"> dos textos dramáticos o textos espectaculares cuyas propuestas expresen o se correspondan a lo que </w:t>
      </w:r>
      <w:proofErr w:type="spellStart"/>
      <w:r w:rsidR="00BA3940">
        <w:rPr>
          <w:rFonts w:ascii="Arial" w:hAnsi="Arial" w:cs="Arial"/>
          <w:lang w:val="es-MX"/>
        </w:rPr>
        <w:t>Agamben</w:t>
      </w:r>
      <w:proofErr w:type="spellEnd"/>
      <w:r w:rsidR="00BA3940">
        <w:rPr>
          <w:rFonts w:ascii="Arial" w:hAnsi="Arial" w:cs="Arial"/>
          <w:lang w:val="es-MX"/>
        </w:rPr>
        <w:t xml:space="preserve"> entiende/propone acerca de “ser/estar siendo </w:t>
      </w:r>
      <w:proofErr w:type="spellStart"/>
      <w:r w:rsidR="00BA3940">
        <w:rPr>
          <w:rFonts w:ascii="Arial" w:hAnsi="Arial" w:cs="Arial"/>
          <w:lang w:val="es-MX"/>
        </w:rPr>
        <w:t>contemporánexs</w:t>
      </w:r>
      <w:proofErr w:type="spellEnd"/>
      <w:r w:rsidR="00BA3940">
        <w:rPr>
          <w:rFonts w:ascii="Arial" w:hAnsi="Arial" w:cs="Arial"/>
          <w:lang w:val="es-MX"/>
        </w:rPr>
        <w:t xml:space="preserve">”. En cada caso fundamente su elección. </w:t>
      </w:r>
    </w:p>
    <w:p w:rsidR="008B22E9" w:rsidRPr="008B22E9" w:rsidRDefault="00BA3940" w:rsidP="008B22E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espectáculo “</w:t>
      </w:r>
      <w:proofErr w:type="spellStart"/>
      <w:r>
        <w:rPr>
          <w:rFonts w:ascii="Arial" w:hAnsi="Arial" w:cs="Arial"/>
          <w:lang w:val="es-MX"/>
        </w:rPr>
        <w:t>Ruedeenla</w:t>
      </w:r>
      <w:proofErr w:type="spellEnd"/>
      <w:r>
        <w:rPr>
          <w:rFonts w:ascii="Arial" w:hAnsi="Arial" w:cs="Arial"/>
          <w:lang w:val="es-MX"/>
        </w:rPr>
        <w:t xml:space="preserve">” de la “Compañía Prematura” de Buenos Aires al que asistimos el jueves pasado, ¿podría considerarse como expresión del “ser/estar siendo </w:t>
      </w:r>
      <w:proofErr w:type="spellStart"/>
      <w:r>
        <w:rPr>
          <w:rFonts w:ascii="Arial" w:hAnsi="Arial" w:cs="Arial"/>
          <w:lang w:val="es-MX"/>
        </w:rPr>
        <w:t>contemporánexs</w:t>
      </w:r>
      <w:proofErr w:type="spellEnd"/>
      <w:r>
        <w:rPr>
          <w:rFonts w:ascii="Arial" w:hAnsi="Arial" w:cs="Arial"/>
          <w:lang w:val="es-MX"/>
        </w:rPr>
        <w:t>”</w:t>
      </w:r>
      <w:r w:rsidR="003E0ED1">
        <w:rPr>
          <w:rFonts w:ascii="Arial" w:hAnsi="Arial" w:cs="Arial"/>
          <w:lang w:val="es-MX"/>
        </w:rPr>
        <w:t xml:space="preserve"> en la concepción de </w:t>
      </w:r>
      <w:proofErr w:type="spellStart"/>
      <w:r w:rsidR="003E0ED1">
        <w:rPr>
          <w:rFonts w:ascii="Arial" w:hAnsi="Arial" w:cs="Arial"/>
          <w:lang w:val="es-MX"/>
        </w:rPr>
        <w:t>Agamben</w:t>
      </w:r>
      <w:proofErr w:type="spellEnd"/>
      <w:r>
        <w:rPr>
          <w:rFonts w:ascii="Arial" w:hAnsi="Arial" w:cs="Arial"/>
          <w:lang w:val="es-MX"/>
        </w:rPr>
        <w:t>? Fundamente su respuesta.</w:t>
      </w:r>
    </w:p>
    <w:p w:rsidR="009632DC" w:rsidRPr="00E41130" w:rsidRDefault="009632DC" w:rsidP="00E41130">
      <w:pPr>
        <w:jc w:val="both"/>
        <w:rPr>
          <w:rFonts w:ascii="Arial" w:hAnsi="Arial" w:cs="Arial"/>
        </w:rPr>
      </w:pPr>
    </w:p>
    <w:sectPr w:rsidR="009632DC" w:rsidRPr="00E41130" w:rsidSect="00E411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42B4"/>
    <w:multiLevelType w:val="hybridMultilevel"/>
    <w:tmpl w:val="26F4D53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30"/>
    <w:rsid w:val="00162DA7"/>
    <w:rsid w:val="003E0ED1"/>
    <w:rsid w:val="005973DE"/>
    <w:rsid w:val="006B7D14"/>
    <w:rsid w:val="008B22E9"/>
    <w:rsid w:val="009632DC"/>
    <w:rsid w:val="00B96A9C"/>
    <w:rsid w:val="00BA3940"/>
    <w:rsid w:val="00BD321D"/>
    <w:rsid w:val="00E4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113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B2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113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B2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alaraacosta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9</cp:revision>
  <dcterms:created xsi:type="dcterms:W3CDTF">2020-03-20T20:02:00Z</dcterms:created>
  <dcterms:modified xsi:type="dcterms:W3CDTF">2020-03-20T21:21:00Z</dcterms:modified>
</cp:coreProperties>
</file>